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120" w:line="192" w:lineRule="auto"/>
        <w:ind w:left="0" w:right="0" w:firstLine="0"/>
        <w:jc w:val="left"/>
        <w:rPr>
          <w:rFonts w:ascii="Zodiac Sans" w:cs="Zodiac Sans" w:eastAsia="Zodiac Sans" w:hAnsi="Zodiac Sans"/>
          <w:b w:val="1"/>
          <w:color w:val="66cc00"/>
          <w:sz w:val="44"/>
          <w:szCs w:val="44"/>
        </w:rPr>
      </w:pPr>
      <w:r w:rsidDel="00000000" w:rsidR="00000000" w:rsidRPr="00000000">
        <w:rPr>
          <w:rFonts w:ascii="Zodiac Sans" w:cs="Zodiac Sans" w:eastAsia="Zodiac Sans" w:hAnsi="Zodiac Sans"/>
          <w:b w:val="1"/>
          <w:color w:val="66cc00"/>
          <w:sz w:val="44"/>
          <w:szCs w:val="44"/>
          <w:rtl w:val="0"/>
        </w:rPr>
        <w:t xml:space="preserve">Nuevo informe de Greenpeace</w:t>
      </w:r>
      <w:r w:rsidDel="00000000" w:rsidR="00000000" w:rsidRPr="00000000">
        <w:drawing>
          <wp:anchor allowOverlap="1" behindDoc="1" distB="0" distT="0" distL="0" distR="0" hidden="0" layoutInCell="1" locked="0" relativeHeight="0" simplePos="0">
            <wp:simplePos x="0" y="0"/>
            <wp:positionH relativeFrom="column">
              <wp:posOffset>3175</wp:posOffset>
            </wp:positionH>
            <wp:positionV relativeFrom="paragraph">
              <wp:posOffset>-610234</wp:posOffset>
            </wp:positionV>
            <wp:extent cx="1506220" cy="242669"/>
            <wp:effectExtent b="0" l="0" r="0" t="0"/>
            <wp:wrapNone/>
            <wp:docPr id="4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06220" cy="242669"/>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120" w:line="192" w:lineRule="auto"/>
        <w:ind w:left="0" w:right="0" w:firstLine="0"/>
        <w:jc w:val="left"/>
        <w:rPr>
          <w:rFonts w:ascii="Zodiac Sans" w:cs="Zodiac Sans" w:eastAsia="Zodiac Sans" w:hAnsi="Zodiac Sans"/>
          <w:b w:val="1"/>
          <w:color w:val="66cc00"/>
          <w:sz w:val="44"/>
          <w:szCs w:val="44"/>
        </w:rPr>
      </w:pPr>
      <w:r w:rsidDel="00000000" w:rsidR="00000000" w:rsidRPr="00000000">
        <w:rPr>
          <w:rFonts w:ascii="Zodiac Sans" w:cs="Zodiac Sans" w:eastAsia="Zodiac Sans" w:hAnsi="Zodiac Sans"/>
          <w:b w:val="1"/>
          <w:color w:val="66cc00"/>
          <w:sz w:val="44"/>
          <w:szCs w:val="44"/>
          <w:rtl w:val="0"/>
        </w:rPr>
        <w:t xml:space="preserve">EASTMED: UNA BOMBA DE TIEMPO CLIMÁTICA Y GEOPOLÍTICA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120" w:line="192" w:lineRule="auto"/>
        <w:ind w:left="0" w:right="0" w:firstLine="0"/>
        <w:jc w:val="left"/>
        <w:rPr>
          <w:rFonts w:ascii="Zodiac Sans" w:cs="Zodiac Sans" w:eastAsia="Zodiac Sans" w:hAnsi="Zodiac Sans"/>
          <w:b w:val="1"/>
          <w:color w:val="66cc00"/>
          <w:sz w:val="44"/>
          <w:szCs w:val="4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120" w:line="192" w:lineRule="auto"/>
        <w:ind w:left="0" w:right="0" w:firstLine="0"/>
        <w:jc w:val="left"/>
        <w:rPr>
          <w:rFonts w:ascii="Zodiac Sans" w:cs="Zodiac Sans" w:eastAsia="Zodiac Sans" w:hAnsi="Zodiac Sans"/>
          <w:b w:val="1"/>
          <w:color w:val="66cc00"/>
          <w:sz w:val="44"/>
          <w:szCs w:val="4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Work Sans Medium" w:cs="Work Sans Medium" w:eastAsia="Work Sans Medium" w:hAnsi="Work Sans Medium"/>
          <w:b w:val="0"/>
          <w:i w:val="0"/>
          <w:smallCaps w:val="0"/>
          <w:strike w:val="0"/>
          <w:color w:val="004b00"/>
          <w:sz w:val="34"/>
          <w:szCs w:val="34"/>
          <w:u w:val="none"/>
          <w:shd w:fill="auto" w:val="clear"/>
          <w:vertAlign w:val="baseline"/>
        </w:rPr>
      </w:pPr>
      <w:r w:rsidDel="00000000" w:rsidR="00000000" w:rsidRPr="00000000">
        <w:rPr>
          <w:rFonts w:ascii="Work Sans Medium" w:cs="Work Sans Medium" w:eastAsia="Work Sans Medium" w:hAnsi="Work Sans Medium"/>
          <w:b w:val="0"/>
          <w:i w:val="0"/>
          <w:smallCaps w:val="0"/>
          <w:strike w:val="0"/>
          <w:color w:val="004b00"/>
          <w:sz w:val="34"/>
          <w:szCs w:val="34"/>
          <w:u w:val="none"/>
          <w:shd w:fill="auto" w:val="clear"/>
          <w:vertAlign w:val="baseline"/>
          <w:rtl w:val="0"/>
        </w:rPr>
        <w:t xml:space="preserve">Res</w:t>
      </w:r>
      <w:r w:rsidDel="00000000" w:rsidR="00000000" w:rsidRPr="00000000">
        <w:rPr>
          <w:rFonts w:ascii="Work Sans Medium" w:cs="Work Sans Medium" w:eastAsia="Work Sans Medium" w:hAnsi="Work Sans Medium"/>
          <w:color w:val="004b00"/>
          <w:sz w:val="34"/>
          <w:szCs w:val="34"/>
          <w:rtl w:val="0"/>
        </w:rPr>
        <w:t xml:space="preserve">umen ejecutivo:</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27" w:before="80" w:line="257" w:lineRule="auto"/>
        <w:ind w:left="0" w:right="0" w:firstLine="0"/>
        <w:jc w:val="left"/>
        <w:rPr>
          <w:rFonts w:ascii="Source Serif Pro" w:cs="Source Serif Pro" w:eastAsia="Source Serif Pro" w:hAnsi="Source Serif Pro"/>
          <w:b w:val="1"/>
          <w:sz w:val="22"/>
          <w:szCs w:val="22"/>
        </w:rPr>
      </w:pPr>
      <w:r w:rsidDel="00000000" w:rsidR="00000000" w:rsidRPr="00000000">
        <w:rPr>
          <w:rFonts w:ascii="Source Serif Pro" w:cs="Source Serif Pro" w:eastAsia="Source Serif Pro" w:hAnsi="Source Serif Pro"/>
          <w:sz w:val="22"/>
          <w:szCs w:val="22"/>
          <w:rtl w:val="0"/>
        </w:rPr>
        <w:t xml:space="preserve">El proyecto de gasoducto </w:t>
      </w:r>
      <w:r w:rsidDel="00000000" w:rsidR="00000000" w:rsidRPr="00000000">
        <w:rPr>
          <w:rFonts w:ascii="Source Serif Pro" w:cs="Source Serif Pro" w:eastAsia="Source Serif Pro" w:hAnsi="Source Serif Pro"/>
          <w:b w:val="1"/>
          <w:sz w:val="22"/>
          <w:szCs w:val="22"/>
          <w:rtl w:val="0"/>
        </w:rPr>
        <w:t xml:space="preserve">EastMed, cuyo objetivo es transportar gas fósil de Israel a Europa, supone una grave amenaza no solo porque contribuirá a las emisiones de gases de efecto invernadero y a la crisis climática, sino porque además será un peligro para la paz en Europa. </w:t>
      </w:r>
      <w:r w:rsidDel="00000000" w:rsidR="00000000" w:rsidRPr="00000000">
        <w:rPr>
          <w:rFonts w:ascii="Source Serif Pro" w:cs="Source Serif Pro" w:eastAsia="Source Serif Pro" w:hAnsi="Source Serif Pro"/>
          <w:sz w:val="22"/>
          <w:szCs w:val="22"/>
          <w:rtl w:val="0"/>
        </w:rPr>
        <w:t xml:space="preserve">Sin embargo, la Unión Europea lleva 10 años apoyando este proyecto, y desde 2013 la lista de Proyectos de Interés Común (PIC) de la Unión Europea lo incluye como estratégico. La extracción de petróleo y gas en la cuenca oriental del Mediterráneo y el plan para construir el nuevo gasoducto están exacerbando las tensiones geopolíticas en la región, fomentando la militarización en toda la zona. </w:t>
      </w:r>
      <w:r w:rsidDel="00000000" w:rsidR="00000000" w:rsidRPr="00000000">
        <w:rPr>
          <w:rFonts w:ascii="Source Serif Pro" w:cs="Source Serif Pro" w:eastAsia="Source Serif Pro" w:hAnsi="Source Serif Pro"/>
          <w:b w:val="1"/>
          <w:sz w:val="22"/>
          <w:szCs w:val="22"/>
          <w:rtl w:val="0"/>
        </w:rPr>
        <w:t xml:space="preserve">Este informe demuestra que, de llevarse a cabo, el oleoducto EastMed alimentará aún más la guerra y fomentará el colapso climático.</w:t>
      </w:r>
    </w:p>
    <w:p w:rsidR="00000000" w:rsidDel="00000000" w:rsidP="00000000" w:rsidRDefault="00000000" w:rsidRPr="00000000" w14:paraId="00000007">
      <w:pPr>
        <w:spacing w:after="200" w:line="276" w:lineRule="auto"/>
        <w:rPr>
          <w:rFonts w:ascii="Source Serif Pro" w:cs="Source Serif Pro" w:eastAsia="Source Serif Pro" w:hAnsi="Source Serif Pro"/>
          <w:sz w:val="22"/>
          <w:szCs w:val="22"/>
        </w:rPr>
      </w:pPr>
      <w:r w:rsidDel="00000000" w:rsidR="00000000" w:rsidRPr="00000000">
        <w:rPr>
          <w:rFonts w:ascii="Source Serif Pro" w:cs="Source Serif Pro" w:eastAsia="Source Serif Pro" w:hAnsi="Source Serif Pro"/>
          <w:sz w:val="22"/>
          <w:szCs w:val="22"/>
          <w:rtl w:val="0"/>
        </w:rPr>
        <w:t xml:space="preserve">A pesar de que la Unión Europea promueve la paz como uno de sus valores clave, la Comisión Europea nunca ha evaluado el impacto geopolítico de los nuevos proyectos de infraestructuras fósiles transfronterizas a los que planea dar su apoyo. En este informe, </w:t>
      </w:r>
      <w:r w:rsidDel="00000000" w:rsidR="00000000" w:rsidRPr="00000000">
        <w:rPr>
          <w:rFonts w:ascii="Source Serif Pro" w:cs="Source Serif Pro" w:eastAsia="Source Serif Pro" w:hAnsi="Source Serif Pro"/>
          <w:b w:val="1"/>
          <w:sz w:val="22"/>
          <w:szCs w:val="22"/>
          <w:rtl w:val="0"/>
        </w:rPr>
        <w:t xml:space="preserve">Greenpeace no solo aporta pruebas sólidas sobre por qué el gasoducto EastMed empeorará la emergencia climática y desbaratará los objetivos ecológicos de la Unión Europea, sino que se analiza por primer vez el impacto negativo que tendría un proyecto transfronterizo de infraestructuras de combustibles fósiles sobre los conflictos geopolíticos dentro de la Unión Europea. </w:t>
      </w:r>
      <w:r w:rsidDel="00000000" w:rsidR="00000000" w:rsidRPr="00000000">
        <w:rPr>
          <w:rFonts w:ascii="Source Serif Pro" w:cs="Source Serif Pro" w:eastAsia="Source Serif Pro" w:hAnsi="Source Serif Pro"/>
          <w:sz w:val="22"/>
          <w:szCs w:val="22"/>
          <w:rtl w:val="0"/>
        </w:rPr>
        <w:t xml:space="preserve">Para esta región, el proyecto de gasoducto supone un problema de seguridad muy delicado, ya que actúa como catalizador y amplificador de los conflictos preexistentes.</w:t>
        <w:br w:type="textWrapping"/>
      </w:r>
    </w:p>
    <w:p w:rsidR="00000000" w:rsidDel="00000000" w:rsidP="00000000" w:rsidRDefault="00000000" w:rsidRPr="00000000" w14:paraId="00000008">
      <w:pPr>
        <w:spacing w:after="200" w:line="276" w:lineRule="auto"/>
        <w:rPr>
          <w:rFonts w:ascii="Source Serif Pro" w:cs="Source Serif Pro" w:eastAsia="Source Serif Pro" w:hAnsi="Source Serif Pro"/>
          <w:b w:val="1"/>
          <w:sz w:val="22"/>
          <w:szCs w:val="22"/>
        </w:rPr>
      </w:pPr>
      <w:r w:rsidDel="00000000" w:rsidR="00000000" w:rsidRPr="00000000">
        <w:rPr>
          <w:rFonts w:ascii="Source Serif Pro" w:cs="Source Serif Pro" w:eastAsia="Source Serif Pro" w:hAnsi="Source Serif Pro"/>
          <w:b w:val="1"/>
          <w:sz w:val="22"/>
          <w:szCs w:val="22"/>
          <w:rtl w:val="0"/>
        </w:rPr>
        <w:t xml:space="preserve">El informe señala que en el plano geopolítico:</w:t>
      </w:r>
    </w:p>
    <w:p w:rsidR="00000000" w:rsidDel="00000000" w:rsidP="00000000" w:rsidRDefault="00000000" w:rsidRPr="00000000" w14:paraId="00000009">
      <w:pPr>
        <w:numPr>
          <w:ilvl w:val="0"/>
          <w:numId w:val="3"/>
        </w:numPr>
        <w:spacing w:after="200" w:line="276" w:lineRule="auto"/>
        <w:ind w:left="720" w:hanging="360"/>
        <w:rPr>
          <w:sz w:val="22"/>
          <w:szCs w:val="22"/>
        </w:rPr>
      </w:pPr>
      <w:r w:rsidDel="00000000" w:rsidR="00000000" w:rsidRPr="00000000">
        <w:rPr>
          <w:rFonts w:ascii="Source Serif Pro" w:cs="Source Serif Pro" w:eastAsia="Source Serif Pro" w:hAnsi="Source Serif Pro"/>
          <w:b w:val="1"/>
          <w:sz w:val="22"/>
          <w:szCs w:val="22"/>
          <w:rtl w:val="0"/>
        </w:rPr>
        <w:t xml:space="preserve">El gasoducto EastMed aumenta el peligro de un enfrentamiento militar entre Turquía y Grecia</w:t>
      </w:r>
      <w:r w:rsidDel="00000000" w:rsidR="00000000" w:rsidRPr="00000000">
        <w:rPr>
          <w:rFonts w:ascii="Source Serif Pro" w:cs="Source Serif Pro" w:eastAsia="Source Serif Pro" w:hAnsi="Source Serif Pro"/>
          <w:sz w:val="22"/>
          <w:szCs w:val="22"/>
          <w:rtl w:val="0"/>
        </w:rPr>
        <w:t xml:space="preserve"> a raíz de la demarcación de sus respectivas fronteras marítimas. Grecia y Turquía nunca han llegado a un acuerdo sobre sus respectivas zonas económicas exclusivas, y ambos países han optado por la disuasión militar para defender sus respectivas reivindicaciones. El trazado del tramo grecochipriota del gasoducto atravesaría zonas marítimas en disputa. Su construcción avivaría el conflicto fronterizo marítimo entre Grecia y Turquía y podría favorecer a Grecia, limitando de hecho el acceso de Turquía al Mediterráneo oriental.</w:t>
      </w:r>
    </w:p>
    <w:p w:rsidR="00000000" w:rsidDel="00000000" w:rsidP="00000000" w:rsidRDefault="00000000" w:rsidRPr="00000000" w14:paraId="0000000A">
      <w:pPr>
        <w:numPr>
          <w:ilvl w:val="0"/>
          <w:numId w:val="3"/>
        </w:numPr>
        <w:spacing w:after="200" w:line="276" w:lineRule="auto"/>
        <w:ind w:left="720" w:hanging="360"/>
        <w:rPr>
          <w:sz w:val="22"/>
          <w:szCs w:val="22"/>
        </w:rPr>
      </w:pPr>
      <w:bookmarkStart w:colFirst="0" w:colLast="0" w:name="_heading=h.gjdgxs" w:id="0"/>
      <w:bookmarkEnd w:id="0"/>
      <w:r w:rsidDel="00000000" w:rsidR="00000000" w:rsidRPr="00000000">
        <w:rPr>
          <w:rFonts w:ascii="Source Serif Pro" w:cs="Source Serif Pro" w:eastAsia="Source Serif Pro" w:hAnsi="Source Serif Pro"/>
          <w:b w:val="1"/>
          <w:sz w:val="22"/>
          <w:szCs w:val="22"/>
          <w:rtl w:val="0"/>
        </w:rPr>
        <w:t xml:space="preserve">Es probable que el proyecto del gasoducto avive un conflicto no resuelto entre la República de Chipre y la República Turca del Norte de Chipre sobre el control de la isla. </w:t>
      </w:r>
      <w:r w:rsidDel="00000000" w:rsidR="00000000" w:rsidRPr="00000000">
        <w:rPr>
          <w:rFonts w:ascii="Source Serif Pro" w:cs="Source Serif Pro" w:eastAsia="Source Serif Pro" w:hAnsi="Source Serif Pro"/>
          <w:sz w:val="22"/>
          <w:szCs w:val="22"/>
          <w:rtl w:val="0"/>
        </w:rPr>
        <w:t xml:space="preserve">El proyecto beneficiaría exclusivamente a la República de Chipre y consolidaría sus reivindicaciones marítimas. En los últimos años, la prospección de gas ha aumentado la tensión entre ambas partes y provocado una mayor presencia militar en la zona marítima, sobre todo desde que la República de Chipre y la República Turca del Norte de Chipre concedieron permisos a empresas de combustibles fósiles para perforar en zonas marítimas que se solapan.</w:t>
      </w:r>
    </w:p>
    <w:p w:rsidR="00000000" w:rsidDel="00000000" w:rsidP="00000000" w:rsidRDefault="00000000" w:rsidRPr="00000000" w14:paraId="0000000B">
      <w:pPr>
        <w:numPr>
          <w:ilvl w:val="0"/>
          <w:numId w:val="3"/>
        </w:numPr>
        <w:spacing w:after="200" w:line="276" w:lineRule="auto"/>
        <w:ind w:left="720" w:hanging="360"/>
        <w:rPr>
          <w:sz w:val="22"/>
          <w:szCs w:val="22"/>
        </w:rPr>
      </w:pPr>
      <w:r w:rsidDel="00000000" w:rsidR="00000000" w:rsidRPr="00000000">
        <w:rPr>
          <w:rFonts w:ascii="Source Serif Pro" w:cs="Source Serif Pro" w:eastAsia="Source Serif Pro" w:hAnsi="Source Serif Pro"/>
          <w:b w:val="1"/>
          <w:sz w:val="22"/>
          <w:szCs w:val="22"/>
          <w:rtl w:val="0"/>
        </w:rPr>
        <w:t xml:space="preserve">Construir el gasoducto para transportar gas desde la región debilitaría la posición de la República Turca del Norte de Chipre,</w:t>
      </w:r>
      <w:r w:rsidDel="00000000" w:rsidR="00000000" w:rsidRPr="00000000">
        <w:rPr>
          <w:rFonts w:ascii="Source Serif Pro" w:cs="Source Serif Pro" w:eastAsia="Source Serif Pro" w:hAnsi="Source Serif Pro"/>
          <w:sz w:val="22"/>
          <w:szCs w:val="22"/>
          <w:rtl w:val="0"/>
        </w:rPr>
        <w:t xml:space="preserve"> limitando de hecho su acceso al mar e impidiendo que obtuviera cualquier beneficio económico por la explotación submarina. Cualquier desestabilización de la República Turca del Norte de Chipre aumenta el peligro de que Turquía recurra a la vía militar.</w:t>
      </w:r>
    </w:p>
    <w:p w:rsidR="00000000" w:rsidDel="00000000" w:rsidP="00000000" w:rsidRDefault="00000000" w:rsidRPr="00000000" w14:paraId="0000000C">
      <w:pPr>
        <w:numPr>
          <w:ilvl w:val="0"/>
          <w:numId w:val="3"/>
        </w:numPr>
        <w:spacing w:after="200" w:line="276" w:lineRule="auto"/>
        <w:ind w:left="720" w:hanging="360"/>
        <w:rPr>
          <w:sz w:val="22"/>
          <w:szCs w:val="22"/>
        </w:rPr>
      </w:pPr>
      <w:r w:rsidDel="00000000" w:rsidR="00000000" w:rsidRPr="00000000">
        <w:rPr>
          <w:rFonts w:ascii="Source Serif Pro" w:cs="Source Serif Pro" w:eastAsia="Source Serif Pro" w:hAnsi="Source Serif Pro"/>
          <w:sz w:val="22"/>
          <w:szCs w:val="22"/>
          <w:rtl w:val="0"/>
        </w:rPr>
        <w:t xml:space="preserve">Como demostró el ataque al gasoducto Nord Stream en 2022, </w:t>
      </w:r>
      <w:r w:rsidDel="00000000" w:rsidR="00000000" w:rsidRPr="00000000">
        <w:rPr>
          <w:rFonts w:ascii="Source Serif Pro" w:cs="Source Serif Pro" w:eastAsia="Source Serif Pro" w:hAnsi="Source Serif Pro"/>
          <w:b w:val="1"/>
          <w:sz w:val="22"/>
          <w:szCs w:val="22"/>
          <w:rtl w:val="0"/>
        </w:rPr>
        <w:t xml:space="preserve">la infraestructura física del gasoducto EastMed puede convertirse en un objetivo militar directo,</w:t>
      </w:r>
      <w:r w:rsidDel="00000000" w:rsidR="00000000" w:rsidRPr="00000000">
        <w:rPr>
          <w:rFonts w:ascii="Source Serif Pro" w:cs="Source Serif Pro" w:eastAsia="Source Serif Pro" w:hAnsi="Source Serif Pro"/>
          <w:sz w:val="22"/>
          <w:szCs w:val="22"/>
          <w:rtl w:val="0"/>
        </w:rPr>
        <w:t xml:space="preserve"> tanto en el tenso contexto regional como a escala mundial, teniendo en cuenta la escalada del enfrentamiento entre Rusia y Estados Unidos, la OTAN y la UE.</w:t>
      </w:r>
    </w:p>
    <w:p w:rsidR="00000000" w:rsidDel="00000000" w:rsidP="00000000" w:rsidRDefault="00000000" w:rsidRPr="00000000" w14:paraId="0000000D">
      <w:pPr>
        <w:numPr>
          <w:ilvl w:val="0"/>
          <w:numId w:val="3"/>
        </w:numPr>
        <w:spacing w:after="200" w:line="276" w:lineRule="auto"/>
        <w:ind w:left="720" w:hanging="360"/>
        <w:rPr>
          <w:sz w:val="22"/>
          <w:szCs w:val="22"/>
        </w:rPr>
      </w:pPr>
      <w:r w:rsidDel="00000000" w:rsidR="00000000" w:rsidRPr="00000000">
        <w:rPr>
          <w:rFonts w:ascii="Source Serif Pro" w:cs="Source Serif Pro" w:eastAsia="Source Serif Pro" w:hAnsi="Source Serif Pro"/>
          <w:b w:val="1"/>
          <w:sz w:val="22"/>
          <w:szCs w:val="22"/>
          <w:rtl w:val="0"/>
        </w:rPr>
        <w:t xml:space="preserve">La posibilidad de que el gasoducto EastMed pueda transportar gas fósil al mercado europeo contribuye a la inseguridad general de la región, ya que alimenta la carrera armamentística</w:t>
      </w:r>
      <w:r w:rsidDel="00000000" w:rsidR="00000000" w:rsidRPr="00000000">
        <w:rPr>
          <w:rFonts w:ascii="Source Serif Pro" w:cs="Source Serif Pro" w:eastAsia="Source Serif Pro" w:hAnsi="Source Serif Pro"/>
          <w:sz w:val="22"/>
          <w:szCs w:val="22"/>
          <w:rtl w:val="0"/>
        </w:rPr>
        <w:t xml:space="preserve"> y aumenta así el riesgo de un enfrentamiento armado. Desde 2010, Grecia, Turquía, Israel y Egipto llevan ampliando su capacidad militar y reforzando su fuerza naval. El número de maniobras militares directamente relacionadas con la protección de las fronteras marítimas ha aumentado, así como el número de acuerdos en materia de defensa con terceros países.</w:t>
        <w:br w:type="textWrapping"/>
      </w:r>
    </w:p>
    <w:p w:rsidR="00000000" w:rsidDel="00000000" w:rsidP="00000000" w:rsidRDefault="00000000" w:rsidRPr="00000000" w14:paraId="0000000E">
      <w:pPr>
        <w:spacing w:after="200" w:line="276" w:lineRule="auto"/>
        <w:rPr>
          <w:rFonts w:ascii="Source Serif Pro" w:cs="Source Serif Pro" w:eastAsia="Source Serif Pro" w:hAnsi="Source Serif Pro"/>
          <w:b w:val="1"/>
          <w:sz w:val="22"/>
          <w:szCs w:val="22"/>
        </w:rPr>
      </w:pPr>
      <w:r w:rsidDel="00000000" w:rsidR="00000000" w:rsidRPr="00000000">
        <w:rPr>
          <w:rFonts w:ascii="Source Serif Pro" w:cs="Source Serif Pro" w:eastAsia="Source Serif Pro" w:hAnsi="Source Serif Pro"/>
          <w:b w:val="1"/>
          <w:sz w:val="22"/>
          <w:szCs w:val="22"/>
          <w:rtl w:val="0"/>
        </w:rPr>
        <w:t xml:space="preserve">Según el informe, se calcula que a nivel climático:</w:t>
      </w:r>
    </w:p>
    <w:p w:rsidR="00000000" w:rsidDel="00000000" w:rsidP="00000000" w:rsidRDefault="00000000" w:rsidRPr="00000000" w14:paraId="0000000F">
      <w:pPr>
        <w:numPr>
          <w:ilvl w:val="0"/>
          <w:numId w:val="2"/>
        </w:numPr>
        <w:spacing w:after="200" w:line="276" w:lineRule="auto"/>
        <w:ind w:left="720" w:hanging="360"/>
        <w:rPr>
          <w:sz w:val="22"/>
          <w:szCs w:val="22"/>
        </w:rPr>
      </w:pPr>
      <w:r w:rsidDel="00000000" w:rsidR="00000000" w:rsidRPr="00000000">
        <w:rPr>
          <w:rFonts w:ascii="Source Serif Pro" w:cs="Source Serif Pro" w:eastAsia="Source Serif Pro" w:hAnsi="Source Serif Pro"/>
          <w:b w:val="1"/>
          <w:sz w:val="22"/>
          <w:szCs w:val="22"/>
          <w:rtl w:val="0"/>
        </w:rPr>
        <w:t xml:space="preserve">Las emisiones anuales totales de GEI del gas fósil suministrado a través del gasoducto EastMed, incluidas las fugas de metano, supondrían el equivalente a 27,7 millones de toneladas de CO</w:t>
      </w:r>
      <w:r w:rsidDel="00000000" w:rsidR="00000000" w:rsidRPr="00000000">
        <w:rPr>
          <w:rFonts w:ascii="Source Serif Pro" w:cs="Source Serif Pro" w:eastAsia="Source Serif Pro" w:hAnsi="Source Serif Pro"/>
          <w:b w:val="1"/>
          <w:sz w:val="22"/>
          <w:szCs w:val="22"/>
          <w:vertAlign w:val="subscript"/>
          <w:rtl w:val="0"/>
        </w:rPr>
        <w:t xml:space="preserve">2</w:t>
      </w:r>
      <w:r w:rsidDel="00000000" w:rsidR="00000000" w:rsidRPr="00000000">
        <w:rPr>
          <w:rFonts w:ascii="Source Serif Pro" w:cs="Source Serif Pro" w:eastAsia="Source Serif Pro" w:hAnsi="Source Serif Pro"/>
          <w:b w:val="1"/>
          <w:sz w:val="22"/>
          <w:szCs w:val="22"/>
          <w:rtl w:val="0"/>
        </w:rPr>
        <w:t xml:space="preserve"> al año;</w:t>
      </w:r>
      <w:r w:rsidDel="00000000" w:rsidR="00000000" w:rsidRPr="00000000">
        <w:rPr>
          <w:rFonts w:ascii="Source Serif Pro" w:cs="Source Serif Pro" w:eastAsia="Source Serif Pro" w:hAnsi="Source Serif Pro"/>
          <w:sz w:val="22"/>
          <w:szCs w:val="22"/>
          <w:rtl w:val="0"/>
        </w:rPr>
        <w:t xml:space="preserve"> una cantidad ligeramente inferior a las del mayor contaminador de la UE, la central de carbón de Belchatów (Polonia).</w:t>
      </w:r>
    </w:p>
    <w:p w:rsidR="00000000" w:rsidDel="00000000" w:rsidP="00000000" w:rsidRDefault="00000000" w:rsidRPr="00000000" w14:paraId="00000010">
      <w:pPr>
        <w:numPr>
          <w:ilvl w:val="0"/>
          <w:numId w:val="2"/>
        </w:numPr>
        <w:spacing w:after="200" w:line="276" w:lineRule="auto"/>
        <w:ind w:left="720" w:hanging="360"/>
        <w:rPr>
          <w:sz w:val="22"/>
          <w:szCs w:val="22"/>
        </w:rPr>
      </w:pPr>
      <w:r w:rsidDel="00000000" w:rsidR="00000000" w:rsidRPr="00000000">
        <w:rPr>
          <w:rFonts w:ascii="Source Serif Pro" w:cs="Source Serif Pro" w:eastAsia="Source Serif Pro" w:hAnsi="Source Serif Pro"/>
          <w:b w:val="1"/>
          <w:sz w:val="22"/>
          <w:szCs w:val="22"/>
          <w:rtl w:val="0"/>
        </w:rPr>
        <w:t xml:space="preserve">En los 21 años que transcurrirían entre la previsible finalización del gasoducto EastMed (2028) y 2050, año en que la Unión Europea pretende alcanzar la neutralidad de carbono, el gasoducto se llevaría el 11,5 % del presupuesto de CO</w:t>
      </w:r>
      <w:r w:rsidDel="00000000" w:rsidR="00000000" w:rsidRPr="00000000">
        <w:rPr>
          <w:rFonts w:ascii="Source Serif Pro" w:cs="Source Serif Pro" w:eastAsia="Source Serif Pro" w:hAnsi="Source Serif Pro"/>
          <w:b w:val="1"/>
          <w:sz w:val="22"/>
          <w:szCs w:val="22"/>
          <w:vertAlign w:val="subscript"/>
          <w:rtl w:val="0"/>
        </w:rPr>
        <w:t xml:space="preserve">2</w:t>
      </w:r>
      <w:r w:rsidDel="00000000" w:rsidR="00000000" w:rsidRPr="00000000">
        <w:rPr>
          <w:rFonts w:ascii="Source Serif Pro" w:cs="Source Serif Pro" w:eastAsia="Source Serif Pro" w:hAnsi="Source Serif Pro"/>
          <w:sz w:val="22"/>
          <w:szCs w:val="22"/>
          <w:rtl w:val="0"/>
        </w:rPr>
        <w:t xml:space="preserve"> restante de que dispone toda la Unión Europea para cumplir con el objetivo de 1,5 °C.</w:t>
      </w:r>
    </w:p>
    <w:p w:rsidR="00000000" w:rsidDel="00000000" w:rsidP="00000000" w:rsidRDefault="00000000" w:rsidRPr="00000000" w14:paraId="00000011">
      <w:pPr>
        <w:numPr>
          <w:ilvl w:val="0"/>
          <w:numId w:val="2"/>
        </w:numPr>
        <w:spacing w:after="200" w:line="276" w:lineRule="auto"/>
        <w:ind w:left="720" w:hanging="360"/>
        <w:rPr>
          <w:sz w:val="22"/>
          <w:szCs w:val="22"/>
        </w:rPr>
      </w:pPr>
      <w:r w:rsidDel="00000000" w:rsidR="00000000" w:rsidRPr="00000000">
        <w:rPr>
          <w:rFonts w:ascii="Source Serif Pro" w:cs="Source Serif Pro" w:eastAsia="Source Serif Pro" w:hAnsi="Source Serif Pro"/>
          <w:b w:val="1"/>
          <w:sz w:val="22"/>
          <w:szCs w:val="22"/>
          <w:rtl w:val="0"/>
        </w:rPr>
        <w:t xml:space="preserve">Si la mezcla que transporta el gasoducto es un 80 % gas fósil y 20 % hidrógeno, las emisiones fugitivas duplicarían las del transporte de gas fósil únicamente.</w:t>
      </w:r>
      <w:r w:rsidDel="00000000" w:rsidR="00000000" w:rsidRPr="00000000">
        <w:rPr>
          <w:rFonts w:ascii="Source Serif Pro" w:cs="Source Serif Pro" w:eastAsia="Source Serif Pro" w:hAnsi="Source Serif Pro"/>
          <w:sz w:val="22"/>
          <w:szCs w:val="22"/>
          <w:rtl w:val="0"/>
        </w:rPr>
        <w:t xml:space="preserve"> Habría que sumar estas emisiones a las relacionadas con la fuente de energía y al proceso de producción de hidrógeno.</w:t>
      </w:r>
    </w:p>
    <w:p w:rsidR="00000000" w:rsidDel="00000000" w:rsidP="00000000" w:rsidRDefault="00000000" w:rsidRPr="00000000" w14:paraId="00000012">
      <w:pPr>
        <w:numPr>
          <w:ilvl w:val="0"/>
          <w:numId w:val="2"/>
        </w:numPr>
        <w:spacing w:after="200" w:line="276" w:lineRule="auto"/>
        <w:ind w:left="720" w:hanging="360"/>
        <w:rPr>
          <w:sz w:val="22"/>
          <w:szCs w:val="22"/>
        </w:rPr>
      </w:pPr>
      <w:r w:rsidDel="00000000" w:rsidR="00000000" w:rsidRPr="00000000">
        <w:rPr>
          <w:rFonts w:ascii="Source Serif Pro" w:cs="Source Serif Pro" w:eastAsia="Source Serif Pro" w:hAnsi="Source Serif Pro"/>
          <w:b w:val="1"/>
          <w:sz w:val="22"/>
          <w:szCs w:val="22"/>
          <w:rtl w:val="0"/>
        </w:rPr>
        <w:t xml:space="preserve">Este proyecto de infraestructura no ayudará a Europa a reducir su dependencia del gas ruso a corto o medio plazo, ya que su finalización no está prevista hasta 2028 como muy pronto. </w:t>
      </w:r>
      <w:r w:rsidDel="00000000" w:rsidR="00000000" w:rsidRPr="00000000">
        <w:rPr>
          <w:rFonts w:ascii="Source Serif Pro" w:cs="Source Serif Pro" w:eastAsia="Source Serif Pro" w:hAnsi="Source Serif Pro"/>
          <w:sz w:val="22"/>
          <w:szCs w:val="22"/>
          <w:rtl w:val="0"/>
        </w:rPr>
        <w:t xml:space="preserve">Para cuando el gasoducto EastMed esté operativo, se prevé que la demanda total de gas de la Unión Europea sea significativamente inferior y el suministro adicional de gas fósil del EastMed ya no será necesario para garantizar el abastecimiento de la Unión Europea. Si la UE quiere abandonar progresivamente el gas ruso y garantizar la total seguridad del suministro al tiempo que reduce su vulnerabilidad económica y lucha contra la crisis climática, la UE debe plantearse inversiones adicionales en energía renovable y ahorro energético en lugar de nuevas y costosas infraestructuras de gas.</w:t>
      </w:r>
    </w:p>
    <w:p w:rsidR="00000000" w:rsidDel="00000000" w:rsidP="00000000" w:rsidRDefault="00000000" w:rsidRPr="00000000" w14:paraId="00000013">
      <w:pPr>
        <w:spacing w:after="200" w:line="276" w:lineRule="auto"/>
        <w:rPr>
          <w:rFonts w:ascii="Source Serif Pro" w:cs="Source Serif Pro" w:eastAsia="Source Serif Pro" w:hAnsi="Source Serif Pro"/>
          <w:sz w:val="22"/>
          <w:szCs w:val="22"/>
        </w:rPr>
      </w:pPr>
      <w:r w:rsidDel="00000000" w:rsidR="00000000" w:rsidRPr="00000000">
        <w:rPr>
          <w:rFonts w:ascii="Source Serif Pro" w:cs="Source Serif Pro" w:eastAsia="Source Serif Pro" w:hAnsi="Source Serif Pro"/>
          <w:sz w:val="22"/>
          <w:szCs w:val="22"/>
          <w:rtl w:val="0"/>
        </w:rPr>
        <w:t xml:space="preserve">Es evidente que</w:t>
      </w:r>
      <w:r w:rsidDel="00000000" w:rsidR="00000000" w:rsidRPr="00000000">
        <w:rPr>
          <w:rFonts w:ascii="Source Serif Pro" w:cs="Source Serif Pro" w:eastAsia="Source Serif Pro" w:hAnsi="Source Serif Pro"/>
          <w:b w:val="1"/>
          <w:sz w:val="22"/>
          <w:szCs w:val="22"/>
          <w:rtl w:val="0"/>
        </w:rPr>
        <w:t xml:space="preserve"> la construcción del gasoducto EastMed alejaría a la Unión Europea de sus objetivos de reducción de emisiones, amenazando el objetivo del acuerdo climático de París de limitar el calentamiento global a 1,5 °C. </w:t>
      </w:r>
      <w:r w:rsidDel="00000000" w:rsidR="00000000" w:rsidRPr="00000000">
        <w:rPr>
          <w:rFonts w:ascii="Source Serif Pro" w:cs="Source Serif Pro" w:eastAsia="Source Serif Pro" w:hAnsi="Source Serif Pro"/>
          <w:sz w:val="22"/>
          <w:szCs w:val="22"/>
          <w:rtl w:val="0"/>
        </w:rPr>
        <w:t xml:space="preserve">Si la Unión Europea insiste en planificar esta infraestructura, se condenará a un futuro dependiente de los combustibles fósiles, empeorando la crisis climática y aumentando el riesgo de una guerra en Europa en lugar de promover la paz.</w:t>
      </w:r>
    </w:p>
    <w:p w:rsidR="00000000" w:rsidDel="00000000" w:rsidP="00000000" w:rsidRDefault="00000000" w:rsidRPr="00000000" w14:paraId="00000014">
      <w:pPr>
        <w:spacing w:after="200" w:line="276" w:lineRule="auto"/>
        <w:rPr>
          <w:rFonts w:ascii="Source Serif Pro" w:cs="Source Serif Pro" w:eastAsia="Source Serif Pro" w:hAnsi="Source Serif Pro"/>
          <w:b w:val="1"/>
          <w:sz w:val="22"/>
          <w:szCs w:val="22"/>
        </w:rPr>
      </w:pPr>
      <w:r w:rsidDel="00000000" w:rsidR="00000000" w:rsidRPr="00000000">
        <w:rPr>
          <w:rFonts w:ascii="Source Serif Pro" w:cs="Source Serif Pro" w:eastAsia="Source Serif Pro" w:hAnsi="Source Serif Pro"/>
          <w:b w:val="1"/>
          <w:sz w:val="22"/>
          <w:szCs w:val="22"/>
          <w:rtl w:val="0"/>
        </w:rPr>
        <w:t xml:space="preserve">Por estos motivos, Greenpeace pide a la Comisión Europea que:</w:t>
      </w:r>
    </w:p>
    <w:p w:rsidR="00000000" w:rsidDel="00000000" w:rsidP="00000000" w:rsidRDefault="00000000" w:rsidRPr="00000000" w14:paraId="00000015">
      <w:pPr>
        <w:numPr>
          <w:ilvl w:val="0"/>
          <w:numId w:val="1"/>
        </w:numPr>
        <w:spacing w:after="200" w:line="276" w:lineRule="auto"/>
        <w:ind w:left="720" w:hanging="360"/>
        <w:rPr>
          <w:sz w:val="22"/>
          <w:szCs w:val="22"/>
        </w:rPr>
      </w:pPr>
      <w:r w:rsidDel="00000000" w:rsidR="00000000" w:rsidRPr="00000000">
        <w:rPr>
          <w:rFonts w:ascii="Source Serif Pro" w:cs="Source Serif Pro" w:eastAsia="Source Serif Pro" w:hAnsi="Source Serif Pro"/>
          <w:b w:val="1"/>
          <w:sz w:val="22"/>
          <w:szCs w:val="22"/>
          <w:rtl w:val="0"/>
        </w:rPr>
        <w:t xml:space="preserve">haga obligatorio realizar una evaluación de riesgo de conflicto</w:t>
      </w:r>
      <w:r w:rsidDel="00000000" w:rsidR="00000000" w:rsidRPr="00000000">
        <w:rPr>
          <w:rFonts w:ascii="Source Serif Pro" w:cs="Source Serif Pro" w:eastAsia="Source Serif Pro" w:hAnsi="Source Serif Pro"/>
          <w:sz w:val="22"/>
          <w:szCs w:val="22"/>
          <w:rtl w:val="0"/>
        </w:rPr>
        <w:t xml:space="preserve"> integral para los proyectos de combustibles fósiles transfronterizos de alta prioridad;</w:t>
      </w:r>
    </w:p>
    <w:p w:rsidR="00000000" w:rsidDel="00000000" w:rsidP="00000000" w:rsidRDefault="00000000" w:rsidRPr="00000000" w14:paraId="00000016">
      <w:pPr>
        <w:numPr>
          <w:ilvl w:val="0"/>
          <w:numId w:val="1"/>
        </w:numPr>
        <w:spacing w:after="200" w:line="276" w:lineRule="auto"/>
        <w:ind w:left="720" w:hanging="360"/>
        <w:rPr>
          <w:rFonts w:ascii="Source Serif Pro" w:cs="Source Serif Pro" w:eastAsia="Source Serif Pro" w:hAnsi="Source Serif Pro"/>
          <w:b w:val="1"/>
          <w:sz w:val="22"/>
          <w:szCs w:val="22"/>
        </w:rPr>
      </w:pPr>
      <w:r w:rsidDel="00000000" w:rsidR="00000000" w:rsidRPr="00000000">
        <w:rPr>
          <w:rFonts w:ascii="Source Serif Pro" w:cs="Source Serif Pro" w:eastAsia="Source Serif Pro" w:hAnsi="Source Serif Pro"/>
          <w:b w:val="1"/>
          <w:sz w:val="22"/>
          <w:szCs w:val="22"/>
          <w:rtl w:val="0"/>
        </w:rPr>
        <w:t xml:space="preserve">deje de apoyar y financiar el proyecto de gasoducto fósil EastMed;</w:t>
      </w:r>
    </w:p>
    <w:p w:rsidR="00000000" w:rsidDel="00000000" w:rsidP="00000000" w:rsidRDefault="00000000" w:rsidRPr="00000000" w14:paraId="00000017">
      <w:pPr>
        <w:numPr>
          <w:ilvl w:val="0"/>
          <w:numId w:val="1"/>
        </w:numPr>
        <w:spacing w:after="200" w:line="276" w:lineRule="auto"/>
        <w:ind w:left="720" w:hanging="360"/>
        <w:rPr>
          <w:rFonts w:ascii="Source Serif Pro" w:cs="Source Serif Pro" w:eastAsia="Source Serif Pro" w:hAnsi="Source Serif Pro"/>
          <w:b w:val="1"/>
          <w:sz w:val="22"/>
          <w:szCs w:val="22"/>
        </w:rPr>
      </w:pPr>
      <w:r w:rsidDel="00000000" w:rsidR="00000000" w:rsidRPr="00000000">
        <w:rPr>
          <w:rFonts w:ascii="Source Serif Pro" w:cs="Source Serif Pro" w:eastAsia="Source Serif Pro" w:hAnsi="Source Serif Pro"/>
          <w:b w:val="1"/>
          <w:sz w:val="22"/>
          <w:szCs w:val="22"/>
          <w:rtl w:val="0"/>
        </w:rPr>
        <w:t xml:space="preserve">excluya el gasoducto EastMed de la nueva lista de Proyectos de Interés Común (PIC).</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27" w:before="80" w:line="254" w:lineRule="auto"/>
        <w:ind w:left="0" w:right="0" w:firstLine="0"/>
        <w:jc w:val="left"/>
        <w:rPr>
          <w:rFonts w:ascii="Source Serif Pro" w:cs="Source Serif Pro" w:eastAsia="Source Serif Pro" w:hAnsi="Source Serif Pro"/>
          <w:b w:val="0"/>
          <w:i w:val="0"/>
          <w:smallCaps w:val="0"/>
          <w:strike w:val="0"/>
          <w:color w:val="000000"/>
          <w:sz w:val="21"/>
          <w:szCs w:val="21"/>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1701" w:left="2835" w:right="1134" w:header="680"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Source Serif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Work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Noto Sans Symbols">
    <w:embedRegular w:fontKey="{00000000-0000-0000-0000-000000000000}" r:id="rId13" w:subsetted="0"/>
    <w:embedBold w:fontKey="{00000000-0000-0000-0000-000000000000}" r:id="rId14" w:subsetted="0"/>
  </w:font>
  <w:font w:name="Zodiac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ind w:right="360"/>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tabs>
        <w:tab w:val="center" w:leader="none" w:pos="7937"/>
        <w:tab w:val="right" w:leader="none" w:pos="10773"/>
      </w:tabs>
      <w:rPr>
        <w:rFonts w:ascii="Work Sans Medium" w:cs="Work Sans Medium" w:eastAsia="Work Sans Medium" w:hAnsi="Work Sans Medium"/>
        <w:b w:val="1"/>
        <w:sz w:val="12"/>
        <w:szCs w:val="12"/>
      </w:rPr>
    </w:pPr>
    <w:r w:rsidDel="00000000" w:rsidR="00000000" w:rsidRPr="00000000">
      <w:rPr>
        <w:rFonts w:ascii="Work Sans" w:cs="Work Sans" w:eastAsia="Work Sans" w:hAnsi="Work Sans"/>
        <w:b w:val="1"/>
        <w:sz w:val="12"/>
        <w:szCs w:val="12"/>
        <w:rtl w:val="0"/>
      </w:rPr>
      <w:t xml:space="preserve">EASTMED</w:t>
    </w:r>
    <w:r w:rsidDel="00000000" w:rsidR="00000000" w:rsidRPr="00000000">
      <w:rPr>
        <w:rFonts w:ascii="Work Sans" w:cs="Work Sans" w:eastAsia="Work Sans" w:hAnsi="Work Sans"/>
        <w:b w:val="1"/>
        <w:sz w:val="14"/>
        <w:szCs w:val="14"/>
        <w:rtl w:val="0"/>
      </w:rPr>
      <w:t xml:space="preserve">: </w:t>
    </w:r>
    <w:r w:rsidDel="00000000" w:rsidR="00000000" w:rsidRPr="00000000">
      <w:rPr>
        <w:rFonts w:ascii="Work Sans" w:cs="Work Sans" w:eastAsia="Work Sans" w:hAnsi="Work Sans"/>
        <w:b w:val="1"/>
        <w:sz w:val="12"/>
        <w:szCs w:val="12"/>
        <w:rtl w:val="0"/>
      </w:rPr>
      <w:t xml:space="preserve">UNA BOMBA CLIMÁTICA Y GEOPOLÍTICA</w:t>
    </w:r>
    <w:r w:rsidDel="00000000" w:rsidR="00000000" w:rsidRPr="00000000">
      <w:rPr>
        <w:rFonts w:ascii="Work Sans" w:cs="Work Sans" w:eastAsia="Work Sans" w:hAnsi="Work Sans"/>
        <w:b w:val="1"/>
        <w:color w:val="000000"/>
        <w:sz w:val="12"/>
        <w:szCs w:val="12"/>
        <w:rtl w:val="0"/>
      </w:rPr>
      <w:t xml:space="preserve">    </w:t>
    </w:r>
    <w:r w:rsidDel="00000000" w:rsidR="00000000" w:rsidRPr="00000000">
      <w:rPr>
        <w:rFonts w:ascii="Work Sans Medium" w:cs="Work Sans Medium" w:eastAsia="Work Sans Medium" w:hAnsi="Work Sans Medium"/>
        <w:sz w:val="12"/>
        <w:szCs w:val="12"/>
        <w:rtl w:val="0"/>
      </w:rPr>
      <w:t xml:space="preserve">/    MARZO 2023</w:t>
    </w:r>
    <w:r w:rsidDel="00000000" w:rsidR="00000000" w:rsidRPr="00000000">
      <w:rPr>
        <w:rtl w:val="0"/>
      </w:rPr>
      <w:t xml:space="preserve"> </w:t>
    </w:r>
    <w:r w:rsidDel="00000000" w:rsidR="00000000" w:rsidRPr="00000000">
      <w:rPr>
        <w:rFonts w:ascii="Work Sans Medium" w:cs="Work Sans Medium" w:eastAsia="Work Sans Medium" w:hAnsi="Work Sans Medium"/>
        <w:b w:val="1"/>
        <w:sz w:val="12"/>
        <w:szCs w:val="12"/>
        <w:rtl w:val="0"/>
      </w:rPr>
      <w:tab/>
    </w:r>
    <w:r w:rsidDel="00000000" w:rsidR="00000000" w:rsidRPr="00000000">
      <w:rPr>
        <w:rFonts w:ascii="Work Sans Medium" w:cs="Work Sans Medium" w:eastAsia="Work Sans Medium" w:hAnsi="Work Sans Medium"/>
        <w:b w:val="1"/>
        <w:sz w:val="12"/>
        <w:szCs w:val="12"/>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1790700</wp:posOffset>
              </wp:positionH>
              <wp:positionV relativeFrom="paragraph">
                <wp:posOffset>50800</wp:posOffset>
              </wp:positionV>
              <wp:extent cx="0" cy="12700"/>
              <wp:effectExtent b="0" l="0" r="0" t="0"/>
              <wp:wrapNone/>
              <wp:docPr id="45" name=""/>
              <a:graphic>
                <a:graphicData uri="http://schemas.microsoft.com/office/word/2010/wordprocessingShape">
                  <wps:wsp>
                    <wps:cNvCnPr/>
                    <wps:spPr>
                      <a:xfrm>
                        <a:off x="5166360" y="3780000"/>
                        <a:ext cx="3592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1790700</wp:posOffset>
              </wp:positionH>
              <wp:positionV relativeFrom="paragraph">
                <wp:posOffset>50800</wp:posOffset>
              </wp:positionV>
              <wp:extent cx="0" cy="12700"/>
              <wp:effectExtent b="0" l="0" r="0" t="0"/>
              <wp:wrapNone/>
              <wp:docPr id="4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ind w:right="360"/>
      <w:rPr>
        <w:rFonts w:ascii="Work Sans" w:cs="Work Sans" w:eastAsia="Work Sans" w:hAnsi="Work Sans"/>
        <w:b w:val="1"/>
        <w:color w:val="000000"/>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-1300388</wp:posOffset>
          </wp:positionH>
          <wp:positionV relativeFrom="paragraph">
            <wp:posOffset>132715</wp:posOffset>
          </wp:positionV>
          <wp:extent cx="915811" cy="149860"/>
          <wp:effectExtent b="0" l="0" r="0" t="0"/>
          <wp:wrapNone/>
          <wp:docPr id="4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5811" cy="149860"/>
                  </a:xfrm>
                  <a:prstGeom prst="rect"/>
                  <a:ln/>
                </pic:spPr>
              </pic:pic>
            </a:graphicData>
          </a:graphic>
        </wp:anchor>
      </w:drawing>
    </w:r>
  </w:p>
  <w:p w:rsidR="00000000" w:rsidDel="00000000" w:rsidP="00000000" w:rsidRDefault="00000000" w:rsidRPr="00000000" w14:paraId="00000025">
    <w:pPr>
      <w:jc w:val="left"/>
      <w:rPr>
        <w:rFonts w:ascii="Work Sans Medium" w:cs="Work Sans Medium" w:eastAsia="Work Sans Medium" w:hAnsi="Work Sans Medium"/>
        <w:b w:val="1"/>
        <w:sz w:val="12"/>
        <w:szCs w:val="12"/>
      </w:rPr>
    </w:pPr>
    <w:r w:rsidDel="00000000" w:rsidR="00000000" w:rsidRPr="00000000">
      <w:rPr>
        <w:rFonts w:ascii="Work Sans" w:cs="Work Sans" w:eastAsia="Work Sans" w:hAnsi="Work Sans"/>
        <w:b w:val="1"/>
        <w:sz w:val="12"/>
        <w:szCs w:val="12"/>
        <w:rtl w:val="0"/>
      </w:rPr>
      <w:t xml:space="preserve">EASTMED</w:t>
    </w:r>
    <w:r w:rsidDel="00000000" w:rsidR="00000000" w:rsidRPr="00000000">
      <w:rPr>
        <w:rFonts w:ascii="Work Sans" w:cs="Work Sans" w:eastAsia="Work Sans" w:hAnsi="Work Sans"/>
        <w:b w:val="1"/>
        <w:sz w:val="14"/>
        <w:szCs w:val="14"/>
        <w:rtl w:val="0"/>
      </w:rPr>
      <w:t xml:space="preserve">: </w:t>
    </w:r>
    <w:r w:rsidDel="00000000" w:rsidR="00000000" w:rsidRPr="00000000">
      <w:rPr>
        <w:rFonts w:ascii="Work Sans" w:cs="Work Sans" w:eastAsia="Work Sans" w:hAnsi="Work Sans"/>
        <w:b w:val="1"/>
        <w:sz w:val="12"/>
        <w:szCs w:val="12"/>
        <w:rtl w:val="0"/>
      </w:rPr>
      <w:t xml:space="preserve">UNA BOMBA CLIMÁTICA Y GEOPOLÍTICA    </w:t>
    </w:r>
    <w:r w:rsidDel="00000000" w:rsidR="00000000" w:rsidRPr="00000000">
      <w:rPr>
        <w:rFonts w:ascii="Work Sans Medium" w:cs="Work Sans Medium" w:eastAsia="Work Sans Medium" w:hAnsi="Work Sans Medium"/>
        <w:sz w:val="12"/>
        <w:szCs w:val="12"/>
        <w:rtl w:val="0"/>
      </w:rPr>
      <w:t xml:space="preserve">/    MARZO 2023</w:t>
    </w:r>
    <w:r w:rsidDel="00000000" w:rsidR="00000000" w:rsidRPr="00000000">
      <w:rPr>
        <w:rtl w:val="0"/>
      </w:rPr>
      <w:t xml:space="preserve"> </w:t>
    </w:r>
    <w:r w:rsidDel="00000000" w:rsidR="00000000" w:rsidRPr="00000000">
      <w:rPr>
        <w:rFonts w:ascii="Work Sans Medium" w:cs="Work Sans Medium" w:eastAsia="Work Sans Medium" w:hAnsi="Work Sans Medium"/>
        <w:b w:val="1"/>
        <w:sz w:val="12"/>
        <w:szCs w:val="12"/>
        <w:rtl w:val="0"/>
      </w:rPr>
      <w:tab/>
    </w:r>
    <w:r w:rsidDel="00000000" w:rsidR="00000000" w:rsidRPr="00000000">
      <w:rPr>
        <w:rFonts w:ascii="Work Sans Medium" w:cs="Work Sans Medium" w:eastAsia="Work Sans Medium" w:hAnsi="Work Sans Medium"/>
        <w:b w:val="1"/>
        <w:sz w:val="12"/>
        <w:szCs w:val="12"/>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1790700</wp:posOffset>
              </wp:positionH>
              <wp:positionV relativeFrom="paragraph">
                <wp:posOffset>50800</wp:posOffset>
              </wp:positionV>
              <wp:extent cx="359280" cy="12700"/>
              <wp:effectExtent b="0" l="0" r="0" t="0"/>
              <wp:wrapNone/>
              <wp:docPr id="44" name=""/>
              <a:graphic>
                <a:graphicData uri="http://schemas.microsoft.com/office/word/2010/wordprocessingShape">
                  <wps:wsp>
                    <wps:cNvCnPr/>
                    <wps:spPr>
                      <a:xfrm>
                        <a:off x="5166360" y="3780000"/>
                        <a:ext cx="3592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1790700</wp:posOffset>
              </wp:positionH>
              <wp:positionV relativeFrom="paragraph">
                <wp:posOffset>50800</wp:posOffset>
              </wp:positionV>
              <wp:extent cx="359280" cy="12700"/>
              <wp:effectExtent b="0" l="0" r="0" t="0"/>
              <wp:wrapNone/>
              <wp:docPr id="4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59280" cy="12700"/>
                      </a:xfrm>
                      <a:prstGeom prst="rect"/>
                      <a:ln/>
                    </pic:spPr>
                  </pic:pic>
                </a:graphicData>
              </a:graphic>
            </wp:anchor>
          </w:drawing>
        </mc:Fallback>
      </mc:AlternateContent>
    </w:r>
  </w:p>
  <w:p w:rsidR="00000000" w:rsidDel="00000000" w:rsidP="00000000" w:rsidRDefault="00000000" w:rsidRPr="00000000" w14:paraId="00000026">
    <w:pPr>
      <w:ind w:left="-2154" w:firstLine="0"/>
      <w:rPr>
        <w:rFonts w:ascii="Work Sans" w:cs="Work Sans" w:eastAsia="Work Sans" w:hAnsi="Work Sans"/>
        <w:b w:val="1"/>
        <w:sz w:val="12"/>
        <w:szCs w:val="1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tabs>
        <w:tab w:val="left" w:leader="none" w:pos="0"/>
      </w:tabs>
      <w:spacing w:line="240" w:lineRule="auto"/>
      <w:ind w:left="-2154" w:firstLine="0"/>
      <w:rPr>
        <w:rFonts w:ascii="Work Sans" w:cs="Work Sans" w:eastAsia="Work Sans" w:hAnsi="Work Sans"/>
        <w:b w:val="1"/>
        <w:sz w:val="20"/>
        <w:szCs w:val="20"/>
      </w:rPr>
    </w:pPr>
    <w:r w:rsidDel="00000000" w:rsidR="00000000" w:rsidRPr="00000000">
      <w:rPr>
        <w:rFonts w:ascii="Work Sans" w:cs="Work Sans" w:eastAsia="Work Sans" w:hAnsi="Work Sans"/>
        <w:b w:val="1"/>
        <w:sz w:val="20"/>
        <w:szCs w:val="20"/>
        <w:rtl w:val="0"/>
      </w:rPr>
      <w:t xml:space="preserve">Marzo </w:t>
      <w:tab/>
    </w:r>
  </w:p>
  <w:p w:rsidR="00000000" w:rsidDel="00000000" w:rsidP="00000000" w:rsidRDefault="00000000" w:rsidRPr="00000000" w14:paraId="0000001E">
    <w:pPr>
      <w:spacing w:line="240" w:lineRule="auto"/>
      <w:ind w:left="-2154" w:firstLine="0"/>
      <w:rPr>
        <w:rFonts w:ascii="Work Sans Medium" w:cs="Work Sans Medium" w:eastAsia="Work Sans Medium" w:hAnsi="Work Sans Medium"/>
        <w:sz w:val="20"/>
        <w:szCs w:val="20"/>
      </w:rPr>
    </w:pPr>
    <w:r w:rsidDel="00000000" w:rsidR="00000000" w:rsidRPr="00000000">
      <w:rPr>
        <w:rFonts w:ascii="Work Sans Medium" w:cs="Work Sans Medium" w:eastAsia="Work Sans Medium" w:hAnsi="Work Sans Medium"/>
        <w:sz w:val="20"/>
        <w:szCs w:val="20"/>
        <w:rtl w:val="0"/>
      </w:rPr>
      <w:t xml:space="preserve">2023</w:t>
    </w:r>
  </w:p>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1" w:customStyle="1">
    <w:name w:val="h1'"/>
    <w:basedOn w:val="Normal"/>
    <w:uiPriority w:val="99"/>
    <w:rsid w:val="002E193A"/>
    <w:pPr>
      <w:suppressAutoHyphens w:val="1"/>
      <w:autoSpaceDE w:val="0"/>
      <w:autoSpaceDN w:val="0"/>
      <w:adjustRightInd w:val="0"/>
      <w:spacing w:after="170" w:line="270" w:lineRule="atLeast"/>
      <w:textAlignment w:val="center"/>
    </w:pPr>
    <w:rPr>
      <w:rFonts w:ascii="Zodiac Sans" w:cs="Zodiac Sans" w:hAnsi="Zodiac Sans"/>
      <w:b w:val="1"/>
      <w:bCs w:val="1"/>
      <w:color w:val="66cc00"/>
      <w:sz w:val="44"/>
      <w:szCs w:val="44"/>
      <w:lang w:val="en-GB"/>
    </w:rPr>
  </w:style>
  <w:style w:type="paragraph" w:styleId="intropara" w:customStyle="1">
    <w:name w:val="intro para"/>
    <w:basedOn w:val="Normal"/>
    <w:uiPriority w:val="99"/>
    <w:rsid w:val="00144F0D"/>
    <w:pPr>
      <w:suppressAutoHyphens w:val="1"/>
      <w:autoSpaceDE w:val="0"/>
      <w:autoSpaceDN w:val="0"/>
      <w:adjustRightInd w:val="0"/>
      <w:spacing w:after="340" w:line="420" w:lineRule="atLeast"/>
      <w:textAlignment w:val="center"/>
    </w:pPr>
    <w:rPr>
      <w:rFonts w:ascii="Work Sans Medium Roman" w:cs="Work Sans Medium Roman" w:hAnsi="Work Sans Medium Roman"/>
      <w:color w:val="004b00"/>
      <w:spacing w:val="-5"/>
      <w:sz w:val="34"/>
      <w:szCs w:val="34"/>
      <w:lang w:val="en-GB"/>
    </w:rPr>
  </w:style>
  <w:style w:type="paragraph" w:styleId="NoParagraphStyle" w:customStyle="1">
    <w:name w:val="[No Paragraph Style]"/>
    <w:rsid w:val="00144F0D"/>
    <w:pPr>
      <w:autoSpaceDE w:val="0"/>
      <w:autoSpaceDN w:val="0"/>
      <w:adjustRightInd w:val="0"/>
      <w:spacing w:line="288" w:lineRule="auto"/>
      <w:textAlignment w:val="center"/>
    </w:pPr>
    <w:rPr>
      <w:rFonts w:ascii="MinionPro-Regular" w:cs="MinionPro-Regular" w:hAnsi="MinionPro-Regular"/>
      <w:color w:val="000000"/>
      <w:lang w:val="en-GB"/>
    </w:rPr>
  </w:style>
  <w:style w:type="paragraph" w:styleId="Greenpeacebodycopy" w:customStyle="1">
    <w:name w:val="Greenpeace body copy"/>
    <w:basedOn w:val="NoParagraphStyle"/>
    <w:uiPriority w:val="99"/>
    <w:qFormat w:val="1"/>
    <w:rsid w:val="003E22E6"/>
    <w:pPr>
      <w:suppressAutoHyphens w:val="1"/>
      <w:snapToGrid w:val="0"/>
      <w:spacing w:after="227" w:before="80" w:line="254" w:lineRule="auto"/>
    </w:pPr>
    <w:rPr>
      <w:rFonts w:ascii="Source Serif Pro" w:cs="Source Serif Pro" w:hAnsi="Source Serif Pro"/>
      <w:sz w:val="21"/>
      <w:szCs w:val="21"/>
    </w:rPr>
  </w:style>
  <w:style w:type="paragraph" w:styleId="GreenpeaceFooter" w:customStyle="1">
    <w:name w:val="Greenpeace Footer"/>
    <w:basedOn w:val="Normal"/>
    <w:qFormat w:val="1"/>
    <w:rsid w:val="000A5731"/>
    <w:pPr>
      <w:ind w:left="-2154"/>
    </w:pPr>
    <w:rPr>
      <w:rFonts w:ascii="Work Sans Regular Roman" w:cs="Work Sans Regular Roman" w:hAnsi="Work Sans Regular Roman"/>
      <w:b w:val="1"/>
      <w:bCs w:val="1"/>
      <w:color w:val="000000" w:themeColor="text1"/>
      <w:sz w:val="12"/>
      <w:szCs w:val="12"/>
    </w:rPr>
  </w:style>
  <w:style w:type="paragraph" w:styleId="h2" w:customStyle="1">
    <w:name w:val="h2"/>
    <w:basedOn w:val="NoParagraphStyle"/>
    <w:uiPriority w:val="99"/>
    <w:rsid w:val="00144F0D"/>
    <w:pPr>
      <w:suppressAutoHyphens w:val="1"/>
      <w:spacing w:after="113" w:before="113"/>
    </w:pPr>
    <w:rPr>
      <w:rFonts w:ascii="Work Sans Regular Roman" w:cs="Work Sans Regular Roman" w:hAnsi="Work Sans Regular Roman"/>
      <w:b w:val="1"/>
      <w:bCs w:val="1"/>
      <w:sz w:val="22"/>
      <w:szCs w:val="22"/>
    </w:rPr>
  </w:style>
  <w:style w:type="paragraph" w:styleId="Greenpeacefooter0" w:customStyle="1">
    <w:name w:val="Greenpeace footer"/>
    <w:basedOn w:val="Normal"/>
    <w:qFormat w:val="1"/>
    <w:rsid w:val="000A5731"/>
    <w:pPr>
      <w:ind w:left="-2155"/>
    </w:pPr>
    <w:rPr>
      <w:rFonts w:ascii="Work Sans Regular Roman" w:cs="Work Sans Regular Roman" w:hAnsi="Work Sans Regular Roman"/>
      <w:b w:val="1"/>
      <w:bCs w:val="1"/>
      <w:color w:val="000000" w:themeColor="text1"/>
      <w:sz w:val="12"/>
      <w:szCs w:val="12"/>
    </w:rPr>
  </w:style>
  <w:style w:type="character" w:styleId="PageNumber">
    <w:name w:val="page number"/>
    <w:basedOn w:val="DefaultParagraphFont"/>
    <w:uiPriority w:val="99"/>
    <w:semiHidden w:val="1"/>
    <w:unhideWhenUsed w:val="1"/>
    <w:rsid w:val="00144F0D"/>
  </w:style>
  <w:style w:type="paragraph" w:styleId="footnotes" w:customStyle="1">
    <w:name w:val="footnotes"/>
    <w:basedOn w:val="NoParagraphStyle"/>
    <w:uiPriority w:val="99"/>
    <w:rsid w:val="00167EBE"/>
    <w:pPr>
      <w:suppressAutoHyphens w:val="1"/>
      <w:spacing w:after="142"/>
    </w:pPr>
    <w:rPr>
      <w:rFonts w:ascii="Source Serif Pro" w:cs="Source Serif Pro" w:hAnsi="Source Serif Pro"/>
      <w:sz w:val="16"/>
      <w:szCs w:val="16"/>
    </w:rPr>
  </w:style>
  <w:style w:type="paragraph" w:styleId="GreenpeaceIntroParagraph" w:customStyle="1">
    <w:name w:val="Greenpeace Intro Paragraph"/>
    <w:basedOn w:val="intropara"/>
    <w:qFormat w:val="1"/>
    <w:rsid w:val="00322BAF"/>
    <w:pPr>
      <w:snapToGrid w:val="0"/>
      <w:spacing w:after="240" w:before="120" w:line="240" w:lineRule="auto"/>
      <w:outlineLvl w:val="1"/>
    </w:pPr>
  </w:style>
  <w:style w:type="paragraph" w:styleId="Greenpeaceheading1" w:customStyle="1">
    <w:name w:val="Greenpeace heading 1"/>
    <w:qFormat w:val="1"/>
    <w:rsid w:val="00F076E1"/>
    <w:pPr>
      <w:snapToGrid w:val="0"/>
      <w:spacing w:after="170" w:before="120" w:line="192" w:lineRule="auto"/>
      <w:outlineLvl w:val="0"/>
    </w:pPr>
    <w:rPr>
      <w:rFonts w:ascii="Zodiac Sans" w:cs="Zodiac Sans" w:hAnsi="Zodiac Sans"/>
      <w:b w:val="1"/>
      <w:bCs w:val="1"/>
      <w:color w:val="66cc00"/>
      <w:sz w:val="44"/>
      <w:szCs w:val="44"/>
      <w:lang w:val="en-GB"/>
    </w:rPr>
  </w:style>
  <w:style w:type="paragraph" w:styleId="GreenpeaceHeading2" w:customStyle="1">
    <w:name w:val="Greenpeace Heading 2"/>
    <w:basedOn w:val="h2"/>
    <w:next w:val="Normal"/>
    <w:qFormat w:val="1"/>
    <w:rsid w:val="00ED02EF"/>
    <w:pPr>
      <w:snapToGrid w:val="0"/>
      <w:spacing w:after="60" w:before="240" w:line="240" w:lineRule="auto"/>
    </w:pPr>
  </w:style>
  <w:style w:type="paragraph" w:styleId="Greenpeacefootnotes" w:customStyle="1">
    <w:name w:val="Greenpeace footnotes"/>
    <w:basedOn w:val="footnotes"/>
    <w:qFormat w:val="1"/>
    <w:rsid w:val="007E0AD0"/>
    <w:pPr>
      <w:snapToGrid w:val="0"/>
      <w:spacing w:after="140" w:line="223" w:lineRule="auto"/>
    </w:pPr>
    <w:rPr>
      <w:color w:val="3a3a36"/>
    </w:rPr>
  </w:style>
  <w:style w:type="paragraph" w:styleId="GreenpeaceEndnotes" w:customStyle="1">
    <w:name w:val="Greenpeace End notes"/>
    <w:basedOn w:val="Normal"/>
    <w:qFormat w:val="1"/>
    <w:rsid w:val="004B72DD"/>
    <w:pPr>
      <w:spacing w:line="270" w:lineRule="exact"/>
    </w:pPr>
    <w:rPr>
      <w:rFonts w:ascii="Work Sans Regular Roman" w:hAnsi="Work Sans Regular Roman"/>
      <w:b w:val="1"/>
      <w:bCs w:val="1"/>
      <w:sz w:val="21"/>
      <w:szCs w:val="21"/>
    </w:rPr>
  </w:style>
  <w:style w:type="paragraph" w:styleId="GreenpeaceEndNotes-Headline" w:customStyle="1">
    <w:name w:val="Greenpeace End Notes-Headline"/>
    <w:basedOn w:val="Greenpeacebodycopy"/>
    <w:qFormat w:val="1"/>
    <w:rsid w:val="004B72DD"/>
    <w:rPr>
      <w:rFonts w:ascii="Zodiac Sans" w:cs="Zodiac Sans" w:hAnsi="Zodiac Sans"/>
      <w:b w:val="1"/>
      <w:bCs w:val="1"/>
      <w:sz w:val="26"/>
      <w:szCs w:val="26"/>
    </w:rPr>
  </w:style>
  <w:style w:type="paragraph" w:styleId="Greenpeace-Endnotes" w:customStyle="1">
    <w:name w:val="Greenpeace-End notes"/>
    <w:basedOn w:val="Normal"/>
    <w:qFormat w:val="1"/>
    <w:rsid w:val="00CA043F"/>
    <w:pPr>
      <w:spacing w:after="240" w:line="270" w:lineRule="exact"/>
    </w:pPr>
    <w:rPr>
      <w:rFonts w:ascii="Work Sans Medium Roman" w:hAnsi="Work Sans Medium Roman"/>
      <w:sz w:val="21"/>
      <w:szCs w:val="21"/>
    </w:rPr>
  </w:style>
  <w:style w:type="character" w:styleId="Hyperlink">
    <w:name w:val="Hyperlink"/>
    <w:basedOn w:val="DefaultParagraphFont"/>
    <w:uiPriority w:val="99"/>
    <w:unhideWhenUsed w:val="1"/>
    <w:rsid w:val="00CA043F"/>
    <w:rPr>
      <w:color w:val="0563c1" w:themeColor="hyperlink"/>
      <w:u w:val="single"/>
    </w:rPr>
  </w:style>
  <w:style w:type="character" w:styleId="UnresolvedMention">
    <w:name w:val="Unresolved Mention"/>
    <w:basedOn w:val="DefaultParagraphFont"/>
    <w:uiPriority w:val="99"/>
    <w:semiHidden w:val="1"/>
    <w:unhideWhenUsed w:val="1"/>
    <w:rsid w:val="00CA043F"/>
    <w:rPr>
      <w:color w:val="605e5c"/>
      <w:shd w:color="auto" w:fill="e1dfdd" w:val="clear"/>
    </w:rPr>
  </w:style>
  <w:style w:type="character" w:styleId="FollowedHyperlink">
    <w:name w:val="FollowedHyperlink"/>
    <w:basedOn w:val="DefaultParagraphFont"/>
    <w:uiPriority w:val="99"/>
    <w:semiHidden w:val="1"/>
    <w:unhideWhenUsed w:val="1"/>
    <w:rsid w:val="001A304E"/>
    <w:rPr>
      <w:color w:val="954f72" w:themeColor="followedHyperlink"/>
      <w:u w:val="single"/>
    </w:rPr>
  </w:style>
  <w:style w:type="paragraph" w:styleId="MOREINFO" w:customStyle="1">
    <w:name w:val="MORE INFO"/>
    <w:basedOn w:val="Greenpeacebodycopy"/>
    <w:rsid w:val="00ED02EF"/>
    <w:pPr>
      <w:spacing w:line="264" w:lineRule="auto"/>
    </w:pPr>
    <w:rPr>
      <w:rFonts w:ascii="Zodiac Sans" w:cs="Zodiac Sans" w:hAnsi="Zodiac Sans"/>
      <w:b w:val="1"/>
      <w:bCs w:val="1"/>
      <w:sz w:val="26"/>
      <w:szCs w:val="26"/>
    </w:rPr>
  </w:style>
  <w:style w:type="paragraph" w:styleId="GreenpeaceReportheading1" w:customStyle="1">
    <w:name w:val="Greenpeace Report heading 1"/>
    <w:basedOn w:val="GreenpeaceIntroParagraph"/>
    <w:qFormat w:val="1"/>
    <w:rsid w:val="00322BAF"/>
    <w:pPr>
      <w:spacing w:after="120" w:before="480"/>
      <w:contextualSpacing w:val="1"/>
    </w:pPr>
    <w:rPr>
      <w:rFonts w:ascii="Work Sans Regular Roman" w:hAnsi="Work Sans Regular Roman"/>
      <w:b w:val="1"/>
      <w:bCs w:val="1"/>
      <w:color w:val="000000" w:themeColor="text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WorkSans-italic.ttf"/><Relationship Id="rId10" Type="http://schemas.openxmlformats.org/officeDocument/2006/relationships/font" Target="fonts/WorkSans-bold.ttf"/><Relationship Id="rId13" Type="http://schemas.openxmlformats.org/officeDocument/2006/relationships/font" Target="fonts/NotoSansSymbols-regular.ttf"/><Relationship Id="rId12" Type="http://schemas.openxmlformats.org/officeDocument/2006/relationships/font" Target="fonts/WorkSans-boldItalic.ttf"/><Relationship Id="rId1" Type="http://schemas.openxmlformats.org/officeDocument/2006/relationships/font" Target="fonts/SourceSerifPro-regular.ttf"/><Relationship Id="rId2" Type="http://schemas.openxmlformats.org/officeDocument/2006/relationships/font" Target="fonts/SourceSerifPro-bold.ttf"/><Relationship Id="rId3" Type="http://schemas.openxmlformats.org/officeDocument/2006/relationships/font" Target="fonts/SourceSerifPro-italic.ttf"/><Relationship Id="rId4" Type="http://schemas.openxmlformats.org/officeDocument/2006/relationships/font" Target="fonts/SourceSerifPro-boldItalic.ttf"/><Relationship Id="rId9" Type="http://schemas.openxmlformats.org/officeDocument/2006/relationships/font" Target="fonts/WorkSans-regular.ttf"/><Relationship Id="rId14" Type="http://schemas.openxmlformats.org/officeDocument/2006/relationships/font" Target="fonts/NotoSansSymbols-bold.ttf"/><Relationship Id="rId5" Type="http://schemas.openxmlformats.org/officeDocument/2006/relationships/font" Target="fonts/WorkSansMedium-regular.ttf"/><Relationship Id="rId6" Type="http://schemas.openxmlformats.org/officeDocument/2006/relationships/font" Target="fonts/WorkSansMedium-bold.ttf"/><Relationship Id="rId7" Type="http://schemas.openxmlformats.org/officeDocument/2006/relationships/font" Target="fonts/WorkSansMedium-italic.ttf"/><Relationship Id="rId8" Type="http://schemas.openxmlformats.org/officeDocument/2006/relationships/font" Target="fonts/WorkSansMedium-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wbVzOXPhAupyytYqt9KfMg65gw==">AMUW2mUnyW1Betk8tGIQ2RuYrvwYH9uQK7fsMNG1p3WDCU1GLgqJ+xVcFkdZbKHSzH3nOR02jzj1hxmyWxntE11DOWYNNA+nok9S+fzSiLQxGhkSU6ROly311yFgd0oQ6hsAgrpDfu5R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2021-11-01T05:52:00Z</dcterms:created>
  <dc:creator>Microsoft Office User</dc:creator>
</cp:coreProperties>
</file>